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4C40974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33C1F501"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18</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декабря </w:t>
      </w:r>
      <w:r w:rsidR="00D57039">
        <w:rPr>
          <w:rFonts w:ascii="Times New Roman" w:eastAsia="Times New Roman" w:hAnsi="Times New Roman"/>
          <w:color w:val="000000"/>
          <w:sz w:val="24"/>
          <w:szCs w:val="24"/>
          <w:lang w:eastAsia="ru-RU"/>
        </w:rPr>
        <w:t>2024 год</w:t>
      </w:r>
      <w:r w:rsidR="009942F8">
        <w:rPr>
          <w:rFonts w:ascii="Times New Roman" w:eastAsia="Times New Roman" w:hAnsi="Times New Roman"/>
          <w:color w:val="000000"/>
          <w:sz w:val="24"/>
          <w:szCs w:val="24"/>
          <w:lang w:eastAsia="ru-RU"/>
        </w:rPr>
        <w:t>а</w:t>
      </w:r>
      <w:bookmarkStart w:id="0" w:name="_GoBack"/>
      <w:bookmarkEnd w:id="0"/>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7939F325" w14:textId="4DA42A33" w:rsidR="003F713B" w:rsidRPr="007D7D19" w:rsidRDefault="000F5BF0" w:rsidP="003F713B">
      <w:pPr>
        <w:pStyle w:val="Standard"/>
        <w:shd w:val="clear" w:color="auto" w:fill="FFFFFF"/>
        <w:tabs>
          <w:tab w:val="left" w:pos="0"/>
          <w:tab w:val="left" w:pos="709"/>
        </w:tabs>
        <w:jc w:val="center"/>
        <w:rPr>
          <w:rFonts w:hint="eastAsi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продуктов питания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r w:rsidR="008D3B5C">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с </w:t>
      </w:r>
      <w:r w:rsidR="003F713B">
        <w:t>01.01.2025г. по 30.04.2025 года.</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5BCCC30E"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proofErr w:type="spellStart"/>
      <w:r w:rsidR="003F713B">
        <w:rPr>
          <w:rFonts w:ascii="Times New Roman" w:eastAsia="Calibri" w:hAnsi="Times New Roman"/>
          <w:lang w:eastAsia="ar-SA"/>
        </w:rPr>
        <w:t>нудж</w:t>
      </w:r>
      <w:proofErr w:type="spellEnd"/>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594AD5">
        <w:t>01.01.2025г. по 30.04.2025</w:t>
      </w:r>
      <w:r w:rsidR="00594AD5">
        <w:t xml:space="preserve">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2ECEE852"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с 01.01.2025г.</w:t>
      </w:r>
      <w:r w:rsidR="007D7D19">
        <w:t xml:space="preserve"> по 30.04.2025 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proofErr w:type="gramStart"/>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w:t>
      </w:r>
      <w:proofErr w:type="gramEnd"/>
      <w:r w:rsidRPr="009B1464">
        <w:rPr>
          <w:rFonts w:ascii="Times New Roman" w:eastAsia="Calibri" w:hAnsi="Times New Roman"/>
          <w:sz w:val="24"/>
          <w:szCs w:val="24"/>
          <w:lang w:eastAsia="ar-SA"/>
        </w:rPr>
        <w:t xml:space="preserve"> порядка оформления ветеринарных сопроводительных документов на бумажных носителях».</w:t>
      </w:r>
    </w:p>
    <w:p w14:paraId="0E2CBABA" w14:textId="6B97E23E"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настоящему Техническому заданию </w:t>
      </w:r>
      <w:r w:rsidR="008D3B5C">
        <w:rPr>
          <w:rFonts w:ascii="Times New Roman" w:eastAsia="Calibri" w:hAnsi="Times New Roman"/>
          <w:sz w:val="24"/>
          <w:szCs w:val="24"/>
          <w:lang w:eastAsia="ar-SA"/>
        </w:rPr>
        <w:t xml:space="preserve">по лотам № 1- </w:t>
      </w:r>
      <w:r w:rsidR="00316E1B">
        <w:rPr>
          <w:rFonts w:ascii="Times New Roman" w:eastAsia="Calibri" w:hAnsi="Times New Roman"/>
          <w:sz w:val="24"/>
          <w:szCs w:val="24"/>
          <w:lang w:eastAsia="ar-SA"/>
        </w:rPr>
        <w:t>4</w:t>
      </w:r>
      <w:r w:rsidR="008D3B5C">
        <w:rPr>
          <w:rFonts w:ascii="Times New Roman" w:eastAsia="Calibri" w:hAnsi="Times New Roman"/>
          <w:sz w:val="24"/>
          <w:szCs w:val="24"/>
          <w:lang w:eastAsia="ar-SA"/>
        </w:rPr>
        <w:t>.</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roofErr w:type="gramEnd"/>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roofErr w:type="gramEnd"/>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7B7B5572"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81700D" w:rsidRPr="00F65849">
        <w:rPr>
          <w:rFonts w:ascii="Times New Roman" w:eastAsia="Calibri" w:hAnsi="Times New Roman"/>
          <w:sz w:val="24"/>
          <w:szCs w:val="24"/>
          <w:lang w:eastAsia="ar-SA"/>
        </w:rPr>
        <w:t>апреля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5158F234" w:rsidR="00C358E2" w:rsidRPr="009B1464" w:rsidRDefault="00D62FAF" w:rsidP="00CE4BC9">
      <w:pPr>
        <w:spacing w:after="0" w:line="360" w:lineRule="auto"/>
        <w:ind w:firstLine="540"/>
        <w:rPr>
          <w:rFonts w:ascii="Times New Roman" w:eastAsia="Calibri" w:hAnsi="Times New Roman"/>
          <w:b/>
          <w:sz w:val="24"/>
          <w:szCs w:val="24"/>
          <w:lang w:eastAsia="ar-SA"/>
        </w:rPr>
      </w:pPr>
      <w:proofErr w:type="spellStart"/>
      <w:r>
        <w:rPr>
          <w:rFonts w:ascii="Times New Roman" w:eastAsia="Calibri" w:hAnsi="Times New Roman"/>
          <w:b/>
          <w:sz w:val="24"/>
          <w:szCs w:val="24"/>
          <w:lang w:eastAsia="ar-SA"/>
        </w:rPr>
        <w:t>и.о</w:t>
      </w:r>
      <w:proofErr w:type="spellEnd"/>
      <w:r>
        <w:rPr>
          <w:rFonts w:ascii="Times New Roman" w:eastAsia="Calibri" w:hAnsi="Times New Roman"/>
          <w:b/>
          <w:sz w:val="24"/>
          <w:szCs w:val="24"/>
          <w:lang w:eastAsia="ar-SA"/>
        </w:rPr>
        <w:t xml:space="preserve">. начальника пищеблока </w:t>
      </w:r>
      <w:r w:rsidR="0081700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 xml:space="preserve">   З.Н. </w:t>
      </w:r>
      <w:proofErr w:type="spellStart"/>
      <w:r>
        <w:rPr>
          <w:rFonts w:ascii="Times New Roman" w:eastAsia="Calibri" w:hAnsi="Times New Roman"/>
          <w:b/>
          <w:sz w:val="24"/>
          <w:szCs w:val="24"/>
          <w:lang w:eastAsia="ar-SA"/>
        </w:rPr>
        <w:t>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42EE" w14:textId="77777777" w:rsidR="00B86198" w:rsidRDefault="00B86198" w:rsidP="00AA4B6E">
      <w:pPr>
        <w:spacing w:after="0" w:line="240" w:lineRule="auto"/>
      </w:pPr>
      <w:r>
        <w:separator/>
      </w:r>
    </w:p>
  </w:endnote>
  <w:endnote w:type="continuationSeparator" w:id="0">
    <w:p w14:paraId="7696195D" w14:textId="77777777" w:rsidR="00B86198" w:rsidRDefault="00B86198"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F8747" w14:textId="77777777" w:rsidR="00B86198" w:rsidRDefault="00B86198" w:rsidP="00AA4B6E">
      <w:pPr>
        <w:spacing w:after="0" w:line="240" w:lineRule="auto"/>
      </w:pPr>
      <w:r>
        <w:separator/>
      </w:r>
    </w:p>
  </w:footnote>
  <w:footnote w:type="continuationSeparator" w:id="0">
    <w:p w14:paraId="5CB3F8C3" w14:textId="77777777" w:rsidR="00B86198" w:rsidRDefault="00B86198"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6101"/>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40640"/>
    <w:rsid w:val="005413B6"/>
    <w:rsid w:val="005417FA"/>
    <w:rsid w:val="005428F3"/>
    <w:rsid w:val="0054425A"/>
    <w:rsid w:val="005502AA"/>
    <w:rsid w:val="00553575"/>
    <w:rsid w:val="0055380C"/>
    <w:rsid w:val="005553E1"/>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CD9"/>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2F7C"/>
    <w:rsid w:val="006B632D"/>
    <w:rsid w:val="006B7EA3"/>
    <w:rsid w:val="006C112A"/>
    <w:rsid w:val="006C6E50"/>
    <w:rsid w:val="006C7372"/>
    <w:rsid w:val="006D19C5"/>
    <w:rsid w:val="006D374E"/>
    <w:rsid w:val="006D3EA3"/>
    <w:rsid w:val="006D4A93"/>
    <w:rsid w:val="006D534C"/>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D52D-367D-457D-8A7F-BCF1E652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13</cp:revision>
  <cp:lastPrinted>2024-12-12T12:48:00Z</cp:lastPrinted>
  <dcterms:created xsi:type="dcterms:W3CDTF">2024-12-12T11:52:00Z</dcterms:created>
  <dcterms:modified xsi:type="dcterms:W3CDTF">2024-12-19T07:38:00Z</dcterms:modified>
</cp:coreProperties>
</file>